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FEA7D" w14:textId="499A4D21" w:rsidR="00DC683F" w:rsidRPr="00494E3D" w:rsidRDefault="00C410AE" w:rsidP="005C0F94">
      <w:pPr>
        <w:spacing w:line="276" w:lineRule="auto"/>
        <w:rPr>
          <w:rFonts w:ascii="Verdana" w:hAnsi="Verdana"/>
          <w:color w:val="4F5046"/>
          <w:sz w:val="16"/>
          <w:szCs w:val="16"/>
        </w:rPr>
      </w:pPr>
      <w:r>
        <w:rPr>
          <w:rFonts w:ascii="Verdana" w:hAnsi="Verdana"/>
          <w:color w:val="4F5046"/>
          <w:sz w:val="16"/>
          <w:szCs w:val="16"/>
        </w:rPr>
        <w:t>02</w:t>
      </w:r>
      <w:r w:rsidR="00C63120">
        <w:rPr>
          <w:rFonts w:ascii="Verdana" w:hAnsi="Verdana"/>
          <w:color w:val="4F5046"/>
          <w:sz w:val="16"/>
          <w:szCs w:val="16"/>
        </w:rPr>
        <w:t>.</w:t>
      </w:r>
      <w:r w:rsidR="00BC1973">
        <w:rPr>
          <w:rFonts w:ascii="Verdana" w:hAnsi="Verdana"/>
          <w:color w:val="4F5046"/>
          <w:sz w:val="16"/>
          <w:szCs w:val="16"/>
        </w:rPr>
        <w:t>0</w:t>
      </w:r>
      <w:r w:rsidR="00C63120">
        <w:rPr>
          <w:rFonts w:ascii="Verdana" w:hAnsi="Verdana"/>
          <w:color w:val="4F5046"/>
          <w:sz w:val="16"/>
          <w:szCs w:val="16"/>
        </w:rPr>
        <w:t>2.202</w:t>
      </w:r>
      <w:r w:rsidR="00BC1973">
        <w:rPr>
          <w:rFonts w:ascii="Verdana" w:hAnsi="Verdana"/>
          <w:color w:val="4F5046"/>
          <w:sz w:val="16"/>
          <w:szCs w:val="16"/>
        </w:rPr>
        <w:t>1</w:t>
      </w:r>
    </w:p>
    <w:p w14:paraId="21E3B885" w14:textId="77777777" w:rsidR="00EB1F46" w:rsidRPr="00A93AE2" w:rsidRDefault="00EB1F46" w:rsidP="005C0F94">
      <w:pPr>
        <w:spacing w:line="276" w:lineRule="auto"/>
        <w:rPr>
          <w:rFonts w:ascii="Verdana" w:hAnsi="Verdana"/>
          <w:sz w:val="22"/>
          <w:szCs w:val="22"/>
        </w:rPr>
      </w:pPr>
    </w:p>
    <w:p w14:paraId="382A8A94" w14:textId="77777777" w:rsidR="00743844" w:rsidRPr="00A93AE2" w:rsidRDefault="00743844" w:rsidP="005C0F94">
      <w:pPr>
        <w:spacing w:line="276" w:lineRule="auto"/>
        <w:rPr>
          <w:rFonts w:ascii="Verdana" w:hAnsi="Verdana"/>
          <w:sz w:val="22"/>
          <w:szCs w:val="22"/>
        </w:rPr>
      </w:pPr>
    </w:p>
    <w:p w14:paraId="35C1CA57" w14:textId="77777777" w:rsidR="007C4D51" w:rsidRPr="007C4D51" w:rsidRDefault="007C4D51" w:rsidP="007C4D51">
      <w:pPr>
        <w:spacing w:line="240" w:lineRule="auto"/>
        <w:rPr>
          <w:rFonts w:ascii="Verdana" w:hAnsi="Verdana" w:cs="Calibri"/>
          <w:b/>
          <w:bCs/>
          <w:sz w:val="24"/>
        </w:rPr>
      </w:pPr>
    </w:p>
    <w:p w14:paraId="2E55F758" w14:textId="77777777" w:rsidR="00826492" w:rsidRPr="00826492" w:rsidRDefault="00826492" w:rsidP="00826492">
      <w:pPr>
        <w:spacing w:line="240" w:lineRule="auto"/>
        <w:rPr>
          <w:rFonts w:ascii="Verdana" w:hAnsi="Verdana" w:cs="Calibri"/>
          <w:b/>
          <w:bCs/>
          <w:color w:val="C00000"/>
          <w:sz w:val="24"/>
          <w:lang w:val="de-AT"/>
        </w:rPr>
      </w:pPr>
      <w:r w:rsidRPr="00826492">
        <w:rPr>
          <w:rFonts w:ascii="Verdana" w:hAnsi="Verdana" w:cs="Calibri"/>
          <w:b/>
          <w:bCs/>
          <w:color w:val="C00000"/>
          <w:sz w:val="24"/>
          <w:lang w:val="de-AT"/>
        </w:rPr>
        <w:t>Aktive Forstwirtschaft ist die Grundlage der Bioökonomie</w:t>
      </w:r>
    </w:p>
    <w:p w14:paraId="1E017B82" w14:textId="66C2EF4A" w:rsidR="005B7D03" w:rsidRDefault="00826492" w:rsidP="007C4D51">
      <w:pPr>
        <w:spacing w:line="240" w:lineRule="auto"/>
        <w:rPr>
          <w:rFonts w:ascii="Verdana" w:hAnsi="Verdana" w:cs="Calibri"/>
          <w:b/>
          <w:bCs/>
          <w:sz w:val="22"/>
          <w:szCs w:val="22"/>
        </w:rPr>
      </w:pPr>
      <w:r>
        <w:rPr>
          <w:rFonts w:ascii="Verdana" w:hAnsi="Verdana" w:cs="Calibri"/>
          <w:b/>
          <w:bCs/>
          <w:sz w:val="22"/>
          <w:szCs w:val="22"/>
        </w:rPr>
        <w:t xml:space="preserve">Nachwachsende Rohstoffe aus </w:t>
      </w:r>
      <w:r w:rsidR="00BC1973">
        <w:rPr>
          <w:rFonts w:ascii="Verdana" w:hAnsi="Verdana" w:cs="Calibri"/>
          <w:b/>
          <w:bCs/>
          <w:sz w:val="22"/>
          <w:szCs w:val="22"/>
        </w:rPr>
        <w:t xml:space="preserve">nachhaltig </w:t>
      </w:r>
      <w:r>
        <w:rPr>
          <w:rFonts w:ascii="Verdana" w:hAnsi="Verdana" w:cs="Calibri"/>
          <w:b/>
          <w:bCs/>
          <w:sz w:val="22"/>
          <w:szCs w:val="22"/>
        </w:rPr>
        <w:t>bewirtschafteten Wäldern bilden die Grundlage</w:t>
      </w:r>
      <w:r w:rsidR="00BC1973">
        <w:rPr>
          <w:rFonts w:ascii="Verdana" w:hAnsi="Verdana" w:cs="Calibri"/>
          <w:b/>
          <w:bCs/>
          <w:sz w:val="22"/>
          <w:szCs w:val="22"/>
        </w:rPr>
        <w:t xml:space="preserve"> biobasierte</w:t>
      </w:r>
      <w:r w:rsidR="00C410AE">
        <w:rPr>
          <w:rFonts w:ascii="Verdana" w:hAnsi="Verdana" w:cs="Calibri"/>
          <w:b/>
          <w:bCs/>
          <w:sz w:val="22"/>
          <w:szCs w:val="22"/>
        </w:rPr>
        <w:t>r</w:t>
      </w:r>
      <w:r w:rsidR="00BC1973">
        <w:rPr>
          <w:rFonts w:ascii="Verdana" w:hAnsi="Verdana" w:cs="Calibri"/>
          <w:b/>
          <w:bCs/>
          <w:sz w:val="22"/>
          <w:szCs w:val="22"/>
        </w:rPr>
        <w:t xml:space="preserve"> Produkte.</w:t>
      </w:r>
      <w:r>
        <w:rPr>
          <w:rFonts w:ascii="Verdana" w:hAnsi="Verdana" w:cs="Calibri"/>
          <w:b/>
          <w:bCs/>
          <w:sz w:val="22"/>
          <w:szCs w:val="22"/>
        </w:rPr>
        <w:t xml:space="preserve"> Die aktive Bewirtschaftung garantiert </w:t>
      </w:r>
      <w:r w:rsidR="00BC1973">
        <w:rPr>
          <w:rFonts w:ascii="Verdana" w:hAnsi="Verdana" w:cs="Calibri"/>
          <w:b/>
          <w:bCs/>
          <w:sz w:val="22"/>
          <w:szCs w:val="22"/>
        </w:rPr>
        <w:t xml:space="preserve">neben der ausreichenden Rohstoffverfügbarkeit auch </w:t>
      </w:r>
      <w:r w:rsidR="00614032">
        <w:rPr>
          <w:rFonts w:ascii="Verdana" w:hAnsi="Verdana" w:cs="Calibri"/>
          <w:b/>
          <w:bCs/>
          <w:sz w:val="22"/>
          <w:szCs w:val="22"/>
        </w:rPr>
        <w:t xml:space="preserve">eine verstärkte Kohlenstoffaufnahme </w:t>
      </w:r>
      <w:r>
        <w:rPr>
          <w:rFonts w:ascii="Verdana" w:hAnsi="Verdana" w:cs="Calibri"/>
          <w:b/>
          <w:bCs/>
          <w:sz w:val="22"/>
          <w:szCs w:val="22"/>
        </w:rPr>
        <w:t xml:space="preserve">der Wälder. </w:t>
      </w:r>
    </w:p>
    <w:p w14:paraId="1458695B" w14:textId="77777777" w:rsidR="00C63120" w:rsidRPr="007C4D51" w:rsidRDefault="00C63120" w:rsidP="007C4D51">
      <w:pPr>
        <w:spacing w:line="240" w:lineRule="auto"/>
        <w:rPr>
          <w:rFonts w:ascii="Verdana" w:hAnsi="Verdana" w:cs="Calibri"/>
          <w:b/>
          <w:bCs/>
          <w:sz w:val="22"/>
          <w:szCs w:val="22"/>
        </w:rPr>
      </w:pPr>
    </w:p>
    <w:p w14:paraId="1E666C34" w14:textId="77777777" w:rsidR="00826492" w:rsidRPr="00820C26" w:rsidRDefault="00826492" w:rsidP="00826492">
      <w:pPr>
        <w:pStyle w:val="Default"/>
        <w:rPr>
          <w:color w:val="auto"/>
          <w:sz w:val="20"/>
          <w:szCs w:val="20"/>
        </w:rPr>
      </w:pPr>
      <w:r w:rsidRPr="00A919AD">
        <w:rPr>
          <w:sz w:val="20"/>
          <w:szCs w:val="20"/>
        </w:rPr>
        <w:t xml:space="preserve">Die Klimakrise erfordert einen Umbau des Wirtschaftssystems von fossilen hin zu erneuerbaren Rohstoffen. Die Papierindustrie ist hier laut aktueller Studie </w:t>
      </w:r>
      <w:r>
        <w:rPr>
          <w:sz w:val="20"/>
          <w:szCs w:val="20"/>
        </w:rPr>
        <w:t>bereits</w:t>
      </w:r>
      <w:r w:rsidRPr="00A919AD">
        <w:rPr>
          <w:sz w:val="20"/>
          <w:szCs w:val="20"/>
        </w:rPr>
        <w:t xml:space="preserve"> Vorreiter. In ganz Europa wurden 139 Bioraffinerien identifiziert, das sind vor allem Zellstoff – und Papierfabrike</w:t>
      </w:r>
      <w:r w:rsidRPr="00A919AD">
        <w:rPr>
          <w:color w:val="auto"/>
          <w:sz w:val="20"/>
          <w:szCs w:val="20"/>
        </w:rPr>
        <w:t xml:space="preserve">n, </w:t>
      </w:r>
      <w:r w:rsidRPr="00A919AD">
        <w:rPr>
          <w:sz w:val="20"/>
          <w:szCs w:val="20"/>
        </w:rPr>
        <w:t>die außer Papier und Zellstoff noch viele weitere biobasierte Produkte aus dem nachhaltigen Rohstoff Holz herstellen. Fasern, Biotreibstoffe oder Tallölprodukte finden ihren Einsatz in zahlreichen Bereichen, von der Verpackungs- und Automobil- über die chemische und Lebensmittel- bis hin zur Pharmaindustrie. Mittlerweile entfallen 3 % des Umsatzes der europäischen Papier- und Zellstoffindustrie auf Bioraffinerie</w:t>
      </w:r>
      <w:r w:rsidRPr="00A919AD">
        <w:rPr>
          <w:color w:val="auto"/>
          <w:sz w:val="20"/>
          <w:szCs w:val="20"/>
        </w:rPr>
        <w:t>-</w:t>
      </w:r>
      <w:r w:rsidRPr="00A919AD">
        <w:rPr>
          <w:sz w:val="20"/>
          <w:szCs w:val="20"/>
        </w:rPr>
        <w:t>Produkte, mit steigender Tendenz. Grundlage all dieser biobasierten Produkte bildet der nachwachsende Rohstoff Holz aus aktiv und nachhaltig bewirtschafteten Wäldern</w:t>
      </w:r>
      <w:r w:rsidRPr="00A919AD">
        <w:rPr>
          <w:color w:val="auto"/>
          <w:sz w:val="20"/>
          <w:szCs w:val="20"/>
        </w:rPr>
        <w:t xml:space="preserve">. In der Österreichischen </w:t>
      </w:r>
      <w:r w:rsidRPr="00820C26">
        <w:rPr>
          <w:color w:val="auto"/>
          <w:sz w:val="20"/>
          <w:szCs w:val="20"/>
        </w:rPr>
        <w:t xml:space="preserve">Papierindustrie wird zu 100 % Holz aus nachhaltiger Forstwirtschaft eingesetzt, das wird durch die Forstzertifizierungssysteme PEFC und FSC dokumentiert. </w:t>
      </w:r>
    </w:p>
    <w:p w14:paraId="5A51D830" w14:textId="77777777" w:rsidR="00826492" w:rsidRPr="00820C26" w:rsidRDefault="00826492" w:rsidP="00826492">
      <w:pPr>
        <w:pStyle w:val="Default"/>
        <w:rPr>
          <w:color w:val="auto"/>
          <w:sz w:val="20"/>
          <w:szCs w:val="20"/>
        </w:rPr>
      </w:pPr>
    </w:p>
    <w:p w14:paraId="10DF865A" w14:textId="77777777" w:rsidR="00826492" w:rsidRPr="00820C26" w:rsidRDefault="00826492" w:rsidP="00826492">
      <w:pPr>
        <w:pStyle w:val="Default"/>
        <w:rPr>
          <w:b/>
          <w:bCs/>
          <w:color w:val="auto"/>
          <w:sz w:val="20"/>
          <w:szCs w:val="20"/>
        </w:rPr>
      </w:pPr>
      <w:r w:rsidRPr="00820C26">
        <w:rPr>
          <w:b/>
          <w:bCs/>
          <w:color w:val="auto"/>
          <w:sz w:val="20"/>
          <w:szCs w:val="20"/>
        </w:rPr>
        <w:t>Nachwachsende Rohstoffe als Voraussetzung</w:t>
      </w:r>
    </w:p>
    <w:p w14:paraId="6A31E729" w14:textId="40525504" w:rsidR="00826492" w:rsidRPr="00820C26" w:rsidRDefault="00826492" w:rsidP="00826492">
      <w:pPr>
        <w:pStyle w:val="Default"/>
        <w:rPr>
          <w:color w:val="auto"/>
          <w:sz w:val="20"/>
          <w:szCs w:val="20"/>
        </w:rPr>
      </w:pPr>
      <w:r w:rsidRPr="00820C26">
        <w:rPr>
          <w:color w:val="auto"/>
          <w:sz w:val="20"/>
          <w:szCs w:val="20"/>
        </w:rPr>
        <w:t>Nachhaltige Waldbewirtschaftung hat in Österreich und seinen Nachbarländern seit Langem Tradition. Der Wald wächst stetig, weil nach dem Prinzip der Nachhaltigkeit nie mehr Bäume geerntet werden als nachwachsen. Pflegeeingriffe, wie z.B. die Durchforstung</w:t>
      </w:r>
      <w:r w:rsidR="00C33EA8">
        <w:rPr>
          <w:color w:val="auto"/>
          <w:sz w:val="20"/>
          <w:szCs w:val="20"/>
        </w:rPr>
        <w:t>,</w:t>
      </w:r>
      <w:r w:rsidRPr="00820C26">
        <w:rPr>
          <w:color w:val="auto"/>
          <w:sz w:val="20"/>
          <w:szCs w:val="20"/>
        </w:rPr>
        <w:t xml:space="preserve"> führen zu stabileren und resistenteren Waldbeständen. Schwache Bäume werden geerntet, damit die verbleibenden durch bessere Wachstumsbedingungen gut gedeihen können. Dabei </w:t>
      </w:r>
      <w:r w:rsidR="00614032">
        <w:rPr>
          <w:color w:val="auto"/>
          <w:sz w:val="20"/>
          <w:szCs w:val="20"/>
        </w:rPr>
        <w:t xml:space="preserve">nehmen </w:t>
      </w:r>
      <w:r w:rsidRPr="00820C26">
        <w:rPr>
          <w:color w:val="auto"/>
          <w:sz w:val="20"/>
          <w:szCs w:val="20"/>
        </w:rPr>
        <w:t>junge, voll im Wachstum befindliche Bäume, auch noch mehr Kohlenstoff</w:t>
      </w:r>
      <w:r w:rsidR="00614032">
        <w:rPr>
          <w:color w:val="auto"/>
          <w:sz w:val="20"/>
          <w:szCs w:val="20"/>
        </w:rPr>
        <w:t xml:space="preserve"> auf</w:t>
      </w:r>
      <w:r w:rsidRPr="00820C26">
        <w:rPr>
          <w:color w:val="auto"/>
          <w:sz w:val="20"/>
          <w:szCs w:val="20"/>
        </w:rPr>
        <w:t>. Und auch in Holzprodukten bleibt der Kohlenstoff weiter gespeichert, solange diese im Kreislauf immer wieder zu neuen Produkten weiterverarbeitet werden. Erst mit der Verbrennung wird CO</w:t>
      </w:r>
      <w:r w:rsidRPr="008B358C">
        <w:rPr>
          <w:color w:val="auto"/>
          <w:sz w:val="20"/>
          <w:szCs w:val="20"/>
          <w:vertAlign w:val="subscript"/>
        </w:rPr>
        <w:t>2</w:t>
      </w:r>
      <w:r w:rsidRPr="00820C26">
        <w:rPr>
          <w:color w:val="auto"/>
          <w:sz w:val="20"/>
          <w:szCs w:val="20"/>
        </w:rPr>
        <w:t xml:space="preserve"> freigesetzt. Ersetzen holzbasierte Produkte fossilbasierte, wird dadurch ebenfalls Kohlendioxid eingespart.</w:t>
      </w:r>
    </w:p>
    <w:p w14:paraId="177E0024" w14:textId="77777777" w:rsidR="00826492" w:rsidRPr="00820C26" w:rsidRDefault="00826492" w:rsidP="00826492">
      <w:pPr>
        <w:pStyle w:val="Default"/>
        <w:rPr>
          <w:color w:val="auto"/>
          <w:sz w:val="20"/>
          <w:szCs w:val="20"/>
        </w:rPr>
      </w:pPr>
    </w:p>
    <w:p w14:paraId="57D81C4D" w14:textId="77777777" w:rsidR="00826492" w:rsidRPr="00A919AD" w:rsidRDefault="00826492" w:rsidP="00826492">
      <w:pPr>
        <w:pStyle w:val="Default"/>
        <w:rPr>
          <w:rFonts w:cs="Calibri"/>
          <w:sz w:val="20"/>
          <w:szCs w:val="20"/>
        </w:rPr>
      </w:pPr>
      <w:r w:rsidRPr="00820C26">
        <w:rPr>
          <w:b/>
          <w:bCs/>
          <w:color w:val="auto"/>
          <w:sz w:val="20"/>
          <w:szCs w:val="20"/>
        </w:rPr>
        <w:t>Positiver Klimaeffekt von 806 Mio. Tonnen CO</w:t>
      </w:r>
      <w:r w:rsidRPr="00820C26">
        <w:rPr>
          <w:b/>
          <w:bCs/>
          <w:color w:val="auto"/>
          <w:sz w:val="20"/>
          <w:szCs w:val="20"/>
          <w:vertAlign w:val="subscript"/>
        </w:rPr>
        <w:t>2</w:t>
      </w:r>
      <w:r w:rsidRPr="00820C26">
        <w:rPr>
          <w:b/>
          <w:bCs/>
          <w:color w:val="auto"/>
          <w:sz w:val="20"/>
          <w:szCs w:val="20"/>
        </w:rPr>
        <w:t xml:space="preserve"> </w:t>
      </w:r>
      <w:r>
        <w:rPr>
          <w:b/>
          <w:bCs/>
          <w:color w:val="auto"/>
          <w:sz w:val="20"/>
          <w:szCs w:val="20"/>
        </w:rPr>
        <w:t>jährlich</w:t>
      </w:r>
      <w:r w:rsidRPr="00820C26">
        <w:rPr>
          <w:b/>
          <w:bCs/>
          <w:color w:val="auto"/>
          <w:sz w:val="20"/>
          <w:szCs w:val="20"/>
        </w:rPr>
        <w:br/>
      </w:r>
      <w:r w:rsidRPr="00826492">
        <w:rPr>
          <w:rStyle w:val="Fett"/>
          <w:rFonts w:cs="Calibri"/>
          <w:b w:val="0"/>
          <w:bCs w:val="0"/>
          <w:color w:val="auto"/>
          <w:sz w:val="20"/>
          <w:szCs w:val="20"/>
        </w:rPr>
        <w:t xml:space="preserve">Die Studie “Climate effect </w:t>
      </w:r>
      <w:r w:rsidRPr="00826492">
        <w:rPr>
          <w:rStyle w:val="Fett"/>
          <w:rFonts w:cs="Calibri"/>
          <w:b w:val="0"/>
          <w:bCs w:val="0"/>
          <w:sz w:val="20"/>
          <w:szCs w:val="20"/>
        </w:rPr>
        <w:t>of the forest-based sector in the European Union“ beziffert den positiven Klimaeffekt des forstbasierten Sektors mit 806 Mio. Tonnen an CO</w:t>
      </w:r>
      <w:r w:rsidRPr="00826492">
        <w:rPr>
          <w:rStyle w:val="Fett"/>
          <w:rFonts w:cs="Calibri"/>
          <w:b w:val="0"/>
          <w:bCs w:val="0"/>
          <w:sz w:val="20"/>
          <w:szCs w:val="20"/>
          <w:vertAlign w:val="subscript"/>
        </w:rPr>
        <w:t>2</w:t>
      </w:r>
      <w:r w:rsidRPr="00826492">
        <w:rPr>
          <w:rStyle w:val="Fett"/>
          <w:rFonts w:cs="Calibri"/>
          <w:b w:val="0"/>
          <w:bCs w:val="0"/>
          <w:sz w:val="20"/>
          <w:szCs w:val="20"/>
        </w:rPr>
        <w:t xml:space="preserve"> pro Jahr. Das entspricht 20 Prozent der gesamten CO</w:t>
      </w:r>
      <w:r w:rsidRPr="00826492">
        <w:rPr>
          <w:rStyle w:val="Fett"/>
          <w:rFonts w:cs="Calibri"/>
          <w:b w:val="0"/>
          <w:bCs w:val="0"/>
          <w:sz w:val="20"/>
          <w:szCs w:val="20"/>
          <w:vertAlign w:val="subscript"/>
        </w:rPr>
        <w:t>2</w:t>
      </w:r>
      <w:r w:rsidRPr="00826492">
        <w:rPr>
          <w:rStyle w:val="Fett"/>
          <w:rFonts w:cs="Calibri"/>
          <w:b w:val="0"/>
          <w:bCs w:val="0"/>
          <w:sz w:val="20"/>
          <w:szCs w:val="20"/>
        </w:rPr>
        <w:t xml:space="preserve">-Emissionen der EU. </w:t>
      </w:r>
      <w:r w:rsidRPr="00826492">
        <w:rPr>
          <w:sz w:val="20"/>
          <w:szCs w:val="20"/>
        </w:rPr>
        <w:t xml:space="preserve">Berechnet </w:t>
      </w:r>
      <w:r w:rsidRPr="00A919AD">
        <w:rPr>
          <w:sz w:val="20"/>
          <w:szCs w:val="20"/>
        </w:rPr>
        <w:t>werden in der Studie einerseits die Emissionen während der Produktionsprozesse. Diese belaufen sich auf 51 Mio. Tonnen CO</w:t>
      </w:r>
      <w:r w:rsidRPr="00A919AD">
        <w:rPr>
          <w:sz w:val="20"/>
          <w:szCs w:val="20"/>
          <w:vertAlign w:val="subscript"/>
        </w:rPr>
        <w:t>2</w:t>
      </w:r>
      <w:r w:rsidRPr="00A919AD">
        <w:rPr>
          <w:sz w:val="20"/>
          <w:szCs w:val="20"/>
        </w:rPr>
        <w:t>. Auf der Habenseite wird dann die Speicherung von CO</w:t>
      </w:r>
      <w:r w:rsidRPr="00A919AD">
        <w:rPr>
          <w:sz w:val="20"/>
          <w:szCs w:val="20"/>
          <w:vertAlign w:val="subscript"/>
        </w:rPr>
        <w:t>2</w:t>
      </w:r>
      <w:r w:rsidRPr="00A919AD">
        <w:rPr>
          <w:sz w:val="20"/>
          <w:szCs w:val="20"/>
        </w:rPr>
        <w:t xml:space="preserve"> in nachhaltig bewirtschafteten Wäldern sowie in Holzprodukten wie Möbel, Bauholz oder Papier verbucht. Hier werden 447 Mio. Tonnen CO</w:t>
      </w:r>
      <w:r w:rsidRPr="00A919AD">
        <w:rPr>
          <w:sz w:val="20"/>
          <w:szCs w:val="20"/>
          <w:vertAlign w:val="subscript"/>
        </w:rPr>
        <w:t>2</w:t>
      </w:r>
      <w:r w:rsidRPr="00A919AD">
        <w:rPr>
          <w:sz w:val="20"/>
          <w:szCs w:val="20"/>
        </w:rPr>
        <w:t xml:space="preserve"> vermieden. Zusätzlich wird noch die CO</w:t>
      </w:r>
      <w:r w:rsidRPr="00E84B7F">
        <w:rPr>
          <w:sz w:val="20"/>
          <w:szCs w:val="20"/>
          <w:vertAlign w:val="subscript"/>
        </w:rPr>
        <w:t xml:space="preserve">2 </w:t>
      </w:r>
      <w:r w:rsidRPr="00A919AD">
        <w:rPr>
          <w:sz w:val="20"/>
          <w:szCs w:val="20"/>
        </w:rPr>
        <w:t>Einsparung durch die Substitution von fossil-basierten Produkte sowie Energieträgern gutgeschrieben. Hier ergibt sich ein Plus von 410 Mio. Tonnen CO</w:t>
      </w:r>
      <w:r w:rsidRPr="00A919AD">
        <w:rPr>
          <w:sz w:val="20"/>
          <w:szCs w:val="20"/>
          <w:vertAlign w:val="subscript"/>
        </w:rPr>
        <w:t>2</w:t>
      </w:r>
      <w:r w:rsidRPr="00A919AD">
        <w:rPr>
          <w:sz w:val="20"/>
          <w:szCs w:val="20"/>
        </w:rPr>
        <w:t>. Insgesamt beträgt damit der Einsparungseffekt am Ende 806 Mio. Tonnen CO</w:t>
      </w:r>
      <w:r w:rsidRPr="00820C26">
        <w:rPr>
          <w:sz w:val="20"/>
          <w:szCs w:val="20"/>
          <w:vertAlign w:val="subscript"/>
        </w:rPr>
        <w:t>2</w:t>
      </w:r>
      <w:r w:rsidRPr="00A919AD">
        <w:rPr>
          <w:sz w:val="20"/>
          <w:szCs w:val="20"/>
        </w:rPr>
        <w:t xml:space="preserve">. </w:t>
      </w:r>
    </w:p>
    <w:p w14:paraId="18C28ACB" w14:textId="61956EE7" w:rsidR="00826492" w:rsidRPr="00A919AD" w:rsidRDefault="00826492" w:rsidP="00826492">
      <w:pPr>
        <w:pStyle w:val="StandardWeb"/>
        <w:rPr>
          <w:rFonts w:ascii="Verdana" w:hAnsi="Verdana"/>
          <w:sz w:val="20"/>
          <w:szCs w:val="20"/>
        </w:rPr>
      </w:pPr>
      <w:r w:rsidRPr="00A919AD">
        <w:rPr>
          <w:rFonts w:ascii="Verdana" w:hAnsi="Verdana"/>
          <w:sz w:val="20"/>
          <w:szCs w:val="20"/>
        </w:rPr>
        <w:t xml:space="preserve">Wälder sind wichtige </w:t>
      </w:r>
      <w:r>
        <w:rPr>
          <w:rFonts w:ascii="Verdana" w:hAnsi="Verdana"/>
          <w:sz w:val="20"/>
          <w:szCs w:val="20"/>
        </w:rPr>
        <w:t>Kohlenstoff-</w:t>
      </w:r>
      <w:r w:rsidRPr="00A919AD">
        <w:rPr>
          <w:rFonts w:ascii="Verdana" w:hAnsi="Verdana"/>
          <w:sz w:val="20"/>
          <w:szCs w:val="20"/>
        </w:rPr>
        <w:t>Speicher. Im Zuge ihres Wachstums absorbieren sie CO</w:t>
      </w:r>
      <w:r w:rsidRPr="00820C26">
        <w:rPr>
          <w:rFonts w:ascii="Verdana" w:hAnsi="Verdana"/>
          <w:sz w:val="20"/>
          <w:szCs w:val="20"/>
          <w:vertAlign w:val="subscript"/>
        </w:rPr>
        <w:t>2</w:t>
      </w:r>
      <w:r w:rsidRPr="00A919AD">
        <w:rPr>
          <w:rFonts w:ascii="Verdana" w:hAnsi="Verdana"/>
          <w:sz w:val="20"/>
          <w:szCs w:val="20"/>
        </w:rPr>
        <w:t xml:space="preserve"> aus der Atmosphäre. Die nachhaltige Nutzung spielt hier eine wesentliche Rolle, denn nur sie garantiert, dass der Wald immer weiterwächst und nie mehr CO</w:t>
      </w:r>
      <w:r w:rsidRPr="00820C26">
        <w:rPr>
          <w:rFonts w:ascii="Verdana" w:hAnsi="Verdana"/>
          <w:sz w:val="20"/>
          <w:szCs w:val="20"/>
          <w:vertAlign w:val="subscript"/>
        </w:rPr>
        <w:t>2</w:t>
      </w:r>
      <w:r w:rsidRPr="00A919AD">
        <w:rPr>
          <w:rFonts w:ascii="Verdana" w:hAnsi="Verdana"/>
          <w:sz w:val="20"/>
          <w:szCs w:val="20"/>
        </w:rPr>
        <w:t xml:space="preserve"> freigesetzt wird, als aufgenommen werden kann. Wird das Holz zu Produkten verarbeitet, bleibt auch der Kohlenstoff</w:t>
      </w:r>
      <w:r>
        <w:rPr>
          <w:rFonts w:ascii="Verdana" w:hAnsi="Verdana"/>
          <w:sz w:val="20"/>
          <w:szCs w:val="20"/>
        </w:rPr>
        <w:t xml:space="preserve"> </w:t>
      </w:r>
      <w:r w:rsidRPr="00A919AD">
        <w:rPr>
          <w:rFonts w:ascii="Verdana" w:hAnsi="Verdana"/>
          <w:sz w:val="20"/>
          <w:szCs w:val="20"/>
        </w:rPr>
        <w:t>weiter in diesen gespeichert. Und Recycling sorgt – neben möglichst hoher Ressourceneffizienz – für eine weitere Verlängerung des CO</w:t>
      </w:r>
      <w:r w:rsidRPr="00820C26">
        <w:rPr>
          <w:rFonts w:ascii="Verdana" w:hAnsi="Verdana"/>
          <w:sz w:val="20"/>
          <w:szCs w:val="20"/>
          <w:vertAlign w:val="subscript"/>
        </w:rPr>
        <w:t>2</w:t>
      </w:r>
      <w:r w:rsidRPr="00A919AD">
        <w:rPr>
          <w:rFonts w:ascii="Verdana" w:hAnsi="Verdana"/>
          <w:sz w:val="20"/>
          <w:szCs w:val="20"/>
        </w:rPr>
        <w:t>-Kreislaufes.</w:t>
      </w:r>
    </w:p>
    <w:p w14:paraId="7A5358E5" w14:textId="77777777" w:rsidR="00826492" w:rsidRPr="002D78E5" w:rsidRDefault="00826492" w:rsidP="00826492">
      <w:pPr>
        <w:rPr>
          <w:rFonts w:ascii="Verdana" w:hAnsi="Verdana"/>
          <w:b/>
          <w:bCs/>
          <w:szCs w:val="20"/>
          <w:lang w:val="en-GB"/>
        </w:rPr>
      </w:pPr>
      <w:r w:rsidRPr="002D78E5">
        <w:rPr>
          <w:rFonts w:ascii="Verdana" w:hAnsi="Verdana"/>
          <w:b/>
          <w:bCs/>
          <w:szCs w:val="20"/>
          <w:lang w:val="en-GB"/>
        </w:rPr>
        <w:lastRenderedPageBreak/>
        <w:t>Links:</w:t>
      </w:r>
    </w:p>
    <w:p w14:paraId="6A865082" w14:textId="77777777" w:rsidR="00826492" w:rsidRPr="002D78E5" w:rsidRDefault="00826492" w:rsidP="00826492">
      <w:pPr>
        <w:rPr>
          <w:rFonts w:ascii="Verdana" w:hAnsi="Verdana"/>
          <w:szCs w:val="20"/>
          <w:lang w:val="en-GB"/>
        </w:rPr>
      </w:pPr>
      <w:r w:rsidRPr="002D78E5">
        <w:rPr>
          <w:rFonts w:ascii="Verdana" w:hAnsi="Verdana"/>
          <w:szCs w:val="20"/>
          <w:lang w:val="en-GB"/>
        </w:rPr>
        <w:t xml:space="preserve">Bioraffinerie-Studie: </w:t>
      </w:r>
      <w:hyperlink r:id="rId7" w:history="1">
        <w:r w:rsidRPr="002D78E5">
          <w:rPr>
            <w:rStyle w:val="Hyperlink"/>
            <w:rFonts w:ascii="Verdana" w:hAnsi="Verdana"/>
            <w:szCs w:val="20"/>
            <w:lang w:val="en-GB"/>
          </w:rPr>
          <w:t>https://www.cepi.org/wp-content/uploads/2021/01/20-3362_BioRefineries_20210125_V2.pdf</w:t>
        </w:r>
      </w:hyperlink>
    </w:p>
    <w:p w14:paraId="3DCB8D3A" w14:textId="77777777" w:rsidR="00826492" w:rsidRDefault="00826492" w:rsidP="00826492">
      <w:pPr>
        <w:rPr>
          <w:rStyle w:val="Fett"/>
          <w:rFonts w:ascii="Verdana" w:hAnsi="Verdana" w:cs="Calibri"/>
          <w:b w:val="0"/>
          <w:bCs w:val="0"/>
          <w:szCs w:val="20"/>
          <w:lang w:val="en-GB"/>
        </w:rPr>
      </w:pPr>
      <w:r w:rsidRPr="002D78E5">
        <w:rPr>
          <w:rStyle w:val="Fett"/>
          <w:rFonts w:ascii="Verdana" w:hAnsi="Verdana" w:cs="Calibri"/>
          <w:szCs w:val="20"/>
          <w:lang w:val="en-GB"/>
        </w:rPr>
        <w:t>Climate effect of the forest-based sector in the European Union</w:t>
      </w:r>
      <w:r>
        <w:rPr>
          <w:rStyle w:val="Fett"/>
          <w:rFonts w:ascii="Verdana" w:hAnsi="Verdana" w:cs="Calibri"/>
          <w:b w:val="0"/>
          <w:bCs w:val="0"/>
          <w:szCs w:val="20"/>
          <w:lang w:val="en-GB"/>
        </w:rPr>
        <w:t xml:space="preserve">: </w:t>
      </w:r>
      <w:hyperlink r:id="rId8" w:history="1">
        <w:r w:rsidRPr="00BF05CC">
          <w:rPr>
            <w:rStyle w:val="Hyperlink"/>
            <w:rFonts w:ascii="Verdana" w:hAnsi="Verdana" w:cs="Calibri"/>
            <w:szCs w:val="20"/>
            <w:lang w:val="en-GB"/>
          </w:rPr>
          <w:t>https://www.cepi.org/wp-content/uploads/2020/07/Cepi_-study.pdf</w:t>
        </w:r>
      </w:hyperlink>
    </w:p>
    <w:p w14:paraId="44F5C987" w14:textId="77777777" w:rsidR="00826492" w:rsidRPr="002D78E5" w:rsidRDefault="00826492" w:rsidP="00826492">
      <w:pPr>
        <w:rPr>
          <w:rFonts w:ascii="Verdana" w:hAnsi="Verdana"/>
          <w:szCs w:val="20"/>
          <w:lang w:val="en-GB"/>
        </w:rPr>
      </w:pPr>
    </w:p>
    <w:p w14:paraId="12AE20C9" w14:textId="77777777" w:rsidR="00621EAB" w:rsidRPr="00826492" w:rsidRDefault="00621EAB" w:rsidP="007C4D51">
      <w:pPr>
        <w:spacing w:line="240" w:lineRule="auto"/>
        <w:rPr>
          <w:rFonts w:ascii="Verdana" w:hAnsi="Verdana" w:cs="Calibri"/>
          <w:sz w:val="22"/>
          <w:szCs w:val="22"/>
          <w:lang w:val="en-GB"/>
        </w:rPr>
      </w:pPr>
    </w:p>
    <w:p w14:paraId="6D6283C6" w14:textId="5B336964" w:rsidR="00BC1973" w:rsidRPr="00BC1973" w:rsidRDefault="00BC1973" w:rsidP="00C63120">
      <w:pPr>
        <w:pStyle w:val="StandardWeb"/>
        <w:rPr>
          <w:rFonts w:ascii="Verdana" w:hAnsi="Verdana" w:cs="Calibri"/>
          <w:b/>
          <w:bCs/>
          <w:sz w:val="20"/>
          <w:szCs w:val="20"/>
          <w:lang w:val="de-DE" w:eastAsia="de-DE"/>
        </w:rPr>
      </w:pPr>
      <w:r w:rsidRPr="00BC1973">
        <w:rPr>
          <w:rFonts w:ascii="Verdana" w:hAnsi="Verdana" w:cs="Calibri"/>
          <w:b/>
          <w:bCs/>
          <w:sz w:val="20"/>
          <w:szCs w:val="20"/>
          <w:lang w:val="de-DE" w:eastAsia="de-DE"/>
        </w:rPr>
        <w:t>Rückfragen:</w:t>
      </w:r>
      <w:r w:rsidRPr="00BC1973">
        <w:rPr>
          <w:rFonts w:ascii="Verdana" w:hAnsi="Verdana" w:cs="Calibri"/>
          <w:b/>
          <w:bCs/>
          <w:sz w:val="20"/>
          <w:szCs w:val="20"/>
          <w:lang w:val="de-DE" w:eastAsia="de-DE"/>
        </w:rPr>
        <w:br/>
      </w:r>
      <w:r w:rsidRPr="00BC1973">
        <w:rPr>
          <w:rFonts w:ascii="Verdana" w:hAnsi="Verdana" w:cs="Calibri"/>
          <w:sz w:val="20"/>
          <w:szCs w:val="20"/>
          <w:lang w:val="de-DE" w:eastAsia="de-DE"/>
        </w:rPr>
        <w:t>Julia Löwenstein</w:t>
      </w:r>
      <w:r w:rsidRPr="00BC1973">
        <w:rPr>
          <w:rFonts w:ascii="Verdana" w:hAnsi="Verdana" w:cs="Calibri"/>
          <w:sz w:val="20"/>
          <w:szCs w:val="20"/>
          <w:lang w:val="de-DE" w:eastAsia="de-DE"/>
        </w:rPr>
        <w:br/>
        <w:t>Austropapier-Vereinigung der Österr. Papierindustrie</w:t>
      </w:r>
      <w:r w:rsidRPr="00BC1973">
        <w:rPr>
          <w:rFonts w:ascii="Verdana" w:hAnsi="Verdana" w:cs="Calibri"/>
          <w:sz w:val="20"/>
          <w:szCs w:val="20"/>
          <w:lang w:val="de-DE" w:eastAsia="de-DE"/>
        </w:rPr>
        <w:br/>
        <w:t>Kommunikation &amp; Öffentlichkeitsarbeit</w:t>
      </w:r>
      <w:r w:rsidRPr="00BC1973">
        <w:rPr>
          <w:rFonts w:ascii="Verdana" w:hAnsi="Verdana" w:cs="Calibri"/>
          <w:sz w:val="20"/>
          <w:szCs w:val="20"/>
          <w:lang w:val="de-DE" w:eastAsia="de-DE"/>
        </w:rPr>
        <w:br/>
        <w:t>Tel. 06506201079</w:t>
      </w:r>
      <w:r w:rsidRPr="00BC1973">
        <w:rPr>
          <w:rFonts w:ascii="Verdana" w:hAnsi="Verdana" w:cs="Calibri"/>
          <w:sz w:val="20"/>
          <w:szCs w:val="20"/>
          <w:lang w:val="de-DE" w:eastAsia="de-DE"/>
        </w:rPr>
        <w:br/>
        <w:t>Mail: julia.loewenstein@austropapier.at</w:t>
      </w:r>
    </w:p>
    <w:sectPr w:rsidR="00BC1973" w:rsidRPr="00BC1973" w:rsidSect="00B22822">
      <w:headerReference w:type="default" r:id="rId9"/>
      <w:footerReference w:type="even" r:id="rId10"/>
      <w:footerReference w:type="default" r:id="rId11"/>
      <w:headerReference w:type="first" r:id="rId12"/>
      <w:footerReference w:type="first" r:id="rId13"/>
      <w:pgSz w:w="11900" w:h="16840"/>
      <w:pgMar w:top="1928" w:right="985" w:bottom="1418"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9EE19" w14:textId="77777777" w:rsidR="00061B3F" w:rsidRDefault="00061B3F">
      <w:r>
        <w:separator/>
      </w:r>
    </w:p>
  </w:endnote>
  <w:endnote w:type="continuationSeparator" w:id="0">
    <w:p w14:paraId="524FDCDF" w14:textId="77777777" w:rsidR="00061B3F" w:rsidRDefault="0006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ant Garde Book BT">
    <w:altName w:val="Times New Roman"/>
    <w:charset w:val="00"/>
    <w:family w:val="auto"/>
    <w:pitch w:val="variable"/>
    <w:sig w:usb0="03000000"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5B8B" w14:textId="77777777" w:rsidR="00524A71" w:rsidRDefault="00524A71" w:rsidP="00D36EF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6F0FA8CD" w14:textId="77777777" w:rsidR="00524A71" w:rsidRDefault="00524A71" w:rsidP="00D36EF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55D5C" w14:textId="1BEB0421" w:rsidR="00524A71" w:rsidRPr="00B22822" w:rsidRDefault="00524A71" w:rsidP="00B22822">
    <w:pPr>
      <w:pStyle w:val="Fuzeile"/>
      <w:framePr w:wrap="around" w:vAnchor="text" w:hAnchor="page" w:x="11029" w:y="-475"/>
      <w:rPr>
        <w:rStyle w:val="Seitenzahl"/>
        <w:rFonts w:ascii="Verdana" w:hAnsi="Verdana"/>
        <w:color w:val="2D2E28"/>
        <w:sz w:val="16"/>
        <w:szCs w:val="16"/>
      </w:rPr>
    </w:pPr>
    <w:r w:rsidRPr="00B22822">
      <w:rPr>
        <w:rStyle w:val="Seitenzahl"/>
        <w:rFonts w:ascii="Verdana" w:hAnsi="Verdana"/>
        <w:color w:val="2D2E28"/>
        <w:sz w:val="16"/>
        <w:szCs w:val="16"/>
      </w:rPr>
      <w:fldChar w:fldCharType="begin"/>
    </w:r>
    <w:r w:rsidRPr="00B22822">
      <w:rPr>
        <w:rStyle w:val="Seitenzahl"/>
        <w:rFonts w:ascii="Verdana" w:hAnsi="Verdana"/>
        <w:color w:val="2D2E28"/>
        <w:sz w:val="16"/>
        <w:szCs w:val="16"/>
      </w:rPr>
      <w:instrText xml:space="preserve">PAGE  </w:instrText>
    </w:r>
    <w:r w:rsidRPr="00B22822">
      <w:rPr>
        <w:rStyle w:val="Seitenzahl"/>
        <w:rFonts w:ascii="Verdana" w:hAnsi="Verdana"/>
        <w:color w:val="2D2E28"/>
        <w:sz w:val="16"/>
        <w:szCs w:val="16"/>
      </w:rPr>
      <w:fldChar w:fldCharType="separate"/>
    </w:r>
    <w:r w:rsidR="00614032">
      <w:rPr>
        <w:rStyle w:val="Seitenzahl"/>
        <w:rFonts w:ascii="Verdana" w:hAnsi="Verdana"/>
        <w:noProof/>
        <w:color w:val="2D2E28"/>
        <w:sz w:val="16"/>
        <w:szCs w:val="16"/>
      </w:rPr>
      <w:t>2</w:t>
    </w:r>
    <w:r w:rsidRPr="00B22822">
      <w:rPr>
        <w:rStyle w:val="Seitenzahl"/>
        <w:rFonts w:ascii="Verdana" w:hAnsi="Verdana"/>
        <w:color w:val="2D2E28"/>
        <w:sz w:val="16"/>
        <w:szCs w:val="16"/>
      </w:rPr>
      <w:fldChar w:fldCharType="end"/>
    </w:r>
  </w:p>
  <w:p w14:paraId="5B9B46B8" w14:textId="77777777" w:rsidR="00524A71" w:rsidRPr="00EF4451" w:rsidRDefault="00524A71" w:rsidP="00D36EF7">
    <w:pPr>
      <w:pStyle w:val="Fuzeile"/>
      <w:ind w:right="360"/>
      <w:jc w:val="left"/>
    </w:pPr>
    <w:r>
      <w:rPr>
        <w:noProof/>
      </w:rPr>
      <w:drawing>
        <wp:anchor distT="0" distB="0" distL="114300" distR="114300" simplePos="0" relativeHeight="251661312" behindDoc="1" locked="0" layoutInCell="1" allowOverlap="1" wp14:anchorId="08BEA14D" wp14:editId="143EC730">
          <wp:simplePos x="0" y="0"/>
          <wp:positionH relativeFrom="page">
            <wp:align>center</wp:align>
          </wp:positionH>
          <wp:positionV relativeFrom="page">
            <wp:align>bottom</wp:align>
          </wp:positionV>
          <wp:extent cx="7559040" cy="585216"/>
          <wp:effectExtent l="0" t="0" r="0" b="0"/>
          <wp:wrapNone/>
          <wp:docPr id="3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_positionspapier_RZ_fuss.png"/>
                  <pic:cNvPicPr/>
                </pic:nvPicPr>
                <pic:blipFill>
                  <a:blip r:embed="rId1">
                    <a:extLst>
                      <a:ext uri="{28A0092B-C50C-407E-A947-70E740481C1C}">
                        <a14:useLocalDpi xmlns:a14="http://schemas.microsoft.com/office/drawing/2010/main" val="0"/>
                      </a:ext>
                    </a:extLst>
                  </a:blip>
                  <a:stretch>
                    <a:fillRect/>
                  </a:stretch>
                </pic:blipFill>
                <pic:spPr>
                  <a:xfrm>
                    <a:off x="0" y="0"/>
                    <a:ext cx="7559040" cy="58521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9730E" w14:textId="70682DDD" w:rsidR="00524A71" w:rsidRPr="00D36EF7" w:rsidRDefault="00524A71" w:rsidP="00D36EF7">
    <w:pPr>
      <w:pStyle w:val="Kopfzeile"/>
      <w:framePr w:wrap="around" w:vAnchor="text" w:hAnchor="page" w:x="11029" w:y="-475"/>
      <w:rPr>
        <w:rStyle w:val="Seitenzahl"/>
        <w:rFonts w:ascii="Verdana" w:hAnsi="Verdana"/>
        <w:color w:val="4F5046"/>
        <w:sz w:val="16"/>
        <w:szCs w:val="16"/>
      </w:rPr>
    </w:pPr>
    <w:r w:rsidRPr="00D36EF7">
      <w:rPr>
        <w:rStyle w:val="Seitenzahl"/>
        <w:rFonts w:ascii="Verdana" w:hAnsi="Verdana"/>
        <w:color w:val="4F5046"/>
        <w:sz w:val="16"/>
        <w:szCs w:val="16"/>
      </w:rPr>
      <w:fldChar w:fldCharType="begin"/>
    </w:r>
    <w:r w:rsidRPr="00D36EF7">
      <w:rPr>
        <w:rStyle w:val="Seitenzahl"/>
        <w:rFonts w:ascii="Verdana" w:hAnsi="Verdana"/>
        <w:color w:val="4F5046"/>
        <w:sz w:val="16"/>
        <w:szCs w:val="16"/>
      </w:rPr>
      <w:instrText xml:space="preserve">PAGE  </w:instrText>
    </w:r>
    <w:r w:rsidRPr="00D36EF7">
      <w:rPr>
        <w:rStyle w:val="Seitenzahl"/>
        <w:rFonts w:ascii="Verdana" w:hAnsi="Verdana"/>
        <w:color w:val="4F5046"/>
        <w:sz w:val="16"/>
        <w:szCs w:val="16"/>
      </w:rPr>
      <w:fldChar w:fldCharType="separate"/>
    </w:r>
    <w:r w:rsidR="00614032">
      <w:rPr>
        <w:rStyle w:val="Seitenzahl"/>
        <w:rFonts w:ascii="Verdana" w:hAnsi="Verdana"/>
        <w:noProof/>
        <w:color w:val="4F5046"/>
        <w:sz w:val="16"/>
        <w:szCs w:val="16"/>
      </w:rPr>
      <w:t>1</w:t>
    </w:r>
    <w:r w:rsidRPr="00D36EF7">
      <w:rPr>
        <w:rStyle w:val="Seitenzahl"/>
        <w:rFonts w:ascii="Verdana" w:hAnsi="Verdana"/>
        <w:color w:val="4F5046"/>
        <w:sz w:val="16"/>
        <w:szCs w:val="16"/>
      </w:rPr>
      <w:fldChar w:fldCharType="end"/>
    </w:r>
  </w:p>
  <w:p w14:paraId="292FBD39" w14:textId="77777777" w:rsidR="00524A71" w:rsidRPr="000760DB" w:rsidRDefault="00524A71" w:rsidP="00494E3D">
    <w:pPr>
      <w:pStyle w:val="Fuzeile"/>
      <w:tabs>
        <w:tab w:val="clear" w:pos="9072"/>
        <w:tab w:val="right" w:pos="9639"/>
      </w:tabs>
      <w:ind w:left="-567" w:right="-575"/>
    </w:pPr>
    <w:r>
      <w:rPr>
        <w:noProof/>
      </w:rPr>
      <w:drawing>
        <wp:anchor distT="0" distB="0" distL="114300" distR="114300" simplePos="0" relativeHeight="251659264" behindDoc="1" locked="0" layoutInCell="1" allowOverlap="1" wp14:anchorId="7E86FA50" wp14:editId="1B3DD051">
          <wp:simplePos x="0" y="0"/>
          <wp:positionH relativeFrom="page">
            <wp:align>center</wp:align>
          </wp:positionH>
          <wp:positionV relativeFrom="page">
            <wp:align>bottom</wp:align>
          </wp:positionV>
          <wp:extent cx="7559040" cy="585216"/>
          <wp:effectExtent l="0" t="0" r="0" b="0"/>
          <wp:wrapNone/>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_positionspapier_RZ_fuss.png"/>
                  <pic:cNvPicPr/>
                </pic:nvPicPr>
                <pic:blipFill>
                  <a:blip r:embed="rId1">
                    <a:extLst>
                      <a:ext uri="{28A0092B-C50C-407E-A947-70E740481C1C}">
                        <a14:useLocalDpi xmlns:a14="http://schemas.microsoft.com/office/drawing/2010/main" val="0"/>
                      </a:ext>
                    </a:extLst>
                  </a:blip>
                  <a:stretch>
                    <a:fillRect/>
                  </a:stretch>
                </pic:blipFill>
                <pic:spPr>
                  <a:xfrm>
                    <a:off x="0" y="0"/>
                    <a:ext cx="7559040" cy="58521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BFAF9" w14:textId="77777777" w:rsidR="00061B3F" w:rsidRDefault="00061B3F">
      <w:r>
        <w:separator/>
      </w:r>
    </w:p>
  </w:footnote>
  <w:footnote w:type="continuationSeparator" w:id="0">
    <w:p w14:paraId="4376AABA" w14:textId="77777777" w:rsidR="00061B3F" w:rsidRDefault="00061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D96C" w14:textId="77777777" w:rsidR="00524A71" w:rsidRDefault="00524A71">
    <w:pPr>
      <w:pStyle w:val="Kopfzeile"/>
    </w:pPr>
  </w:p>
  <w:p w14:paraId="3087F3A8" w14:textId="77777777" w:rsidR="00524A71" w:rsidRDefault="00524A71">
    <w:pPr>
      <w:pStyle w:val="Kopfzeile"/>
    </w:pPr>
  </w:p>
  <w:p w14:paraId="6A9B4254" w14:textId="77777777" w:rsidR="00524A71" w:rsidRDefault="00524A71">
    <w:pPr>
      <w:pStyle w:val="Kopfzeile"/>
    </w:pPr>
  </w:p>
  <w:p w14:paraId="614C8999" w14:textId="77777777" w:rsidR="00524A71" w:rsidRDefault="00524A71">
    <w:pPr>
      <w:pStyle w:val="Kopfzeile"/>
    </w:pPr>
  </w:p>
  <w:p w14:paraId="5047A0CD" w14:textId="7A740FA9" w:rsidR="00524A71" w:rsidRPr="00B22822" w:rsidRDefault="00C63120">
    <w:pPr>
      <w:pStyle w:val="Kopfzeile"/>
      <w:rPr>
        <w:rFonts w:ascii="Verdana" w:hAnsi="Verdana"/>
        <w:color w:val="2D2E28"/>
        <w:sz w:val="16"/>
        <w:szCs w:val="16"/>
      </w:rPr>
    </w:pPr>
    <w:r>
      <w:rPr>
        <w:rFonts w:ascii="Verdana" w:hAnsi="Verdana"/>
        <w:color w:val="2D2E28"/>
        <w:sz w:val="16"/>
        <w:szCs w:val="16"/>
      </w:rPr>
      <w:t>04.12.2020</w:t>
    </w:r>
  </w:p>
  <w:p w14:paraId="66F0B9BA" w14:textId="77777777" w:rsidR="00524A71" w:rsidRDefault="00524A71">
    <w:pPr>
      <w:pStyle w:val="Kopfzeile"/>
    </w:pPr>
  </w:p>
  <w:p w14:paraId="3C120BEF" w14:textId="77777777" w:rsidR="00524A71" w:rsidRDefault="00524A71">
    <w:pPr>
      <w:pStyle w:val="Kopfzeile"/>
    </w:pPr>
    <w:r>
      <w:rPr>
        <w:noProof/>
      </w:rPr>
      <w:drawing>
        <wp:anchor distT="0" distB="0" distL="114300" distR="114300" simplePos="0" relativeHeight="251662336" behindDoc="1" locked="0" layoutInCell="1" allowOverlap="1" wp14:anchorId="58D1CE26" wp14:editId="03DE786D">
          <wp:simplePos x="0" y="0"/>
          <wp:positionH relativeFrom="page">
            <wp:align>right</wp:align>
          </wp:positionH>
          <wp:positionV relativeFrom="page">
            <wp:align>top</wp:align>
          </wp:positionV>
          <wp:extent cx="7559040" cy="1234440"/>
          <wp:effectExtent l="0" t="0" r="0" b="0"/>
          <wp:wrapNone/>
          <wp:docPr id="40"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_positionspapier_RZ_kopffolge.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2344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B6090DD" w14:textId="77777777" w:rsidR="00524A71" w:rsidRDefault="00524A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9C942" w14:textId="77777777" w:rsidR="00524A71" w:rsidRDefault="00524A71" w:rsidP="00D36EF7">
    <w:pPr>
      <w:pStyle w:val="Kopfzeile"/>
      <w:ind w:right="360"/>
    </w:pPr>
  </w:p>
  <w:p w14:paraId="77AABB52" w14:textId="77777777" w:rsidR="00524A71" w:rsidRDefault="00524A71">
    <w:pPr>
      <w:pStyle w:val="Kopfzeile"/>
    </w:pPr>
    <w:r>
      <w:rPr>
        <w:noProof/>
      </w:rPr>
      <w:drawing>
        <wp:anchor distT="0" distB="0" distL="114300" distR="114300" simplePos="0" relativeHeight="251663360" behindDoc="1" locked="0" layoutInCell="1" allowOverlap="1" wp14:anchorId="476C4977" wp14:editId="204B2995">
          <wp:simplePos x="0" y="0"/>
          <wp:positionH relativeFrom="page">
            <wp:align>right</wp:align>
          </wp:positionH>
          <wp:positionV relativeFrom="page">
            <wp:align>top</wp:align>
          </wp:positionV>
          <wp:extent cx="7559040" cy="1840992"/>
          <wp:effectExtent l="0" t="0" r="0" b="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_presseaussendung_RZ_kopf.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84099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767"/>
    <w:rsid w:val="000117C3"/>
    <w:rsid w:val="000343FC"/>
    <w:rsid w:val="00054D5A"/>
    <w:rsid w:val="00054F80"/>
    <w:rsid w:val="00061B3F"/>
    <w:rsid w:val="00080CE6"/>
    <w:rsid w:val="000934B6"/>
    <w:rsid w:val="000D4C78"/>
    <w:rsid w:val="000F15D7"/>
    <w:rsid w:val="0012485D"/>
    <w:rsid w:val="00182FC0"/>
    <w:rsid w:val="001C3055"/>
    <w:rsid w:val="001E588A"/>
    <w:rsid w:val="001E6D44"/>
    <w:rsid w:val="0021548F"/>
    <w:rsid w:val="00246461"/>
    <w:rsid w:val="00246DB8"/>
    <w:rsid w:val="002D405B"/>
    <w:rsid w:val="00344D09"/>
    <w:rsid w:val="00366244"/>
    <w:rsid w:val="003F2E4A"/>
    <w:rsid w:val="003F6B47"/>
    <w:rsid w:val="0040235B"/>
    <w:rsid w:val="00421643"/>
    <w:rsid w:val="00454873"/>
    <w:rsid w:val="00491959"/>
    <w:rsid w:val="00494E3D"/>
    <w:rsid w:val="004B16EC"/>
    <w:rsid w:val="00512E21"/>
    <w:rsid w:val="00514C9D"/>
    <w:rsid w:val="00524A71"/>
    <w:rsid w:val="00526C61"/>
    <w:rsid w:val="005450AF"/>
    <w:rsid w:val="005467B4"/>
    <w:rsid w:val="00561CAC"/>
    <w:rsid w:val="005B7D03"/>
    <w:rsid w:val="005C0F94"/>
    <w:rsid w:val="005F17E5"/>
    <w:rsid w:val="005F5E9C"/>
    <w:rsid w:val="00612C8C"/>
    <w:rsid w:val="00614032"/>
    <w:rsid w:val="00621C72"/>
    <w:rsid w:val="00621EAB"/>
    <w:rsid w:val="0067615C"/>
    <w:rsid w:val="007343B7"/>
    <w:rsid w:val="0074069E"/>
    <w:rsid w:val="00743844"/>
    <w:rsid w:val="00753F6F"/>
    <w:rsid w:val="00793518"/>
    <w:rsid w:val="007B7335"/>
    <w:rsid w:val="007C4D51"/>
    <w:rsid w:val="007D0DAD"/>
    <w:rsid w:val="00802578"/>
    <w:rsid w:val="00804800"/>
    <w:rsid w:val="00826492"/>
    <w:rsid w:val="0086117C"/>
    <w:rsid w:val="0086325B"/>
    <w:rsid w:val="008766B0"/>
    <w:rsid w:val="00895CDA"/>
    <w:rsid w:val="008A29BE"/>
    <w:rsid w:val="008B358C"/>
    <w:rsid w:val="008B4D7C"/>
    <w:rsid w:val="008E620B"/>
    <w:rsid w:val="008F282F"/>
    <w:rsid w:val="008F3B28"/>
    <w:rsid w:val="009015DD"/>
    <w:rsid w:val="00935F25"/>
    <w:rsid w:val="009B6534"/>
    <w:rsid w:val="009D6A66"/>
    <w:rsid w:val="009D7EB5"/>
    <w:rsid w:val="00A05D78"/>
    <w:rsid w:val="00A31624"/>
    <w:rsid w:val="00A375FF"/>
    <w:rsid w:val="00A834F3"/>
    <w:rsid w:val="00A93AE2"/>
    <w:rsid w:val="00A93CBE"/>
    <w:rsid w:val="00AB27C8"/>
    <w:rsid w:val="00AE6490"/>
    <w:rsid w:val="00B22822"/>
    <w:rsid w:val="00B40B10"/>
    <w:rsid w:val="00B57140"/>
    <w:rsid w:val="00B74D17"/>
    <w:rsid w:val="00BC1973"/>
    <w:rsid w:val="00BC3AE6"/>
    <w:rsid w:val="00BE2C22"/>
    <w:rsid w:val="00C115B9"/>
    <w:rsid w:val="00C138E6"/>
    <w:rsid w:val="00C210D4"/>
    <w:rsid w:val="00C33EA8"/>
    <w:rsid w:val="00C410AE"/>
    <w:rsid w:val="00C53767"/>
    <w:rsid w:val="00C63120"/>
    <w:rsid w:val="00C73057"/>
    <w:rsid w:val="00CD06C6"/>
    <w:rsid w:val="00D36EF7"/>
    <w:rsid w:val="00D715D3"/>
    <w:rsid w:val="00DC683F"/>
    <w:rsid w:val="00DD2807"/>
    <w:rsid w:val="00E113BC"/>
    <w:rsid w:val="00E75310"/>
    <w:rsid w:val="00E855B3"/>
    <w:rsid w:val="00EA10F3"/>
    <w:rsid w:val="00EA36EF"/>
    <w:rsid w:val="00EB1F46"/>
    <w:rsid w:val="00ED693D"/>
    <w:rsid w:val="00F0346F"/>
    <w:rsid w:val="00F1035C"/>
    <w:rsid w:val="00FD3D57"/>
    <w:rsid w:val="00FF2D9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AFA279A"/>
  <w14:defaultImageDpi w14:val="300"/>
  <w15:docId w15:val="{E8F4819F-CBE2-49E6-8F51-0467E8E7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4451"/>
    <w:pPr>
      <w:spacing w:line="320" w:lineRule="exact"/>
    </w:pPr>
    <w:rPr>
      <w:rFonts w:ascii="Avant Garde Book BT" w:hAnsi="Avant Garde Book BT"/>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760DB"/>
    <w:pPr>
      <w:tabs>
        <w:tab w:val="center" w:pos="4536"/>
        <w:tab w:val="right" w:pos="9072"/>
      </w:tabs>
    </w:pPr>
  </w:style>
  <w:style w:type="paragraph" w:styleId="Fuzeile">
    <w:name w:val="footer"/>
    <w:basedOn w:val="Standard"/>
    <w:semiHidden/>
    <w:rsid w:val="006026B5"/>
    <w:pPr>
      <w:tabs>
        <w:tab w:val="center" w:pos="4536"/>
        <w:tab w:val="right" w:pos="9072"/>
      </w:tabs>
      <w:jc w:val="center"/>
    </w:pPr>
    <w:rPr>
      <w:caps/>
      <w:sz w:val="14"/>
    </w:rPr>
  </w:style>
  <w:style w:type="paragraph" w:styleId="Sprechblasentext">
    <w:name w:val="Balloon Text"/>
    <w:basedOn w:val="Standard"/>
    <w:link w:val="SprechblasentextZchn"/>
    <w:rsid w:val="008A29B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8A29BE"/>
    <w:rPr>
      <w:rFonts w:ascii="Lucida Grande" w:hAnsi="Lucida Grande" w:cs="Lucida Grande"/>
      <w:sz w:val="18"/>
      <w:szCs w:val="18"/>
    </w:rPr>
  </w:style>
  <w:style w:type="character" w:styleId="Seitenzahl">
    <w:name w:val="page number"/>
    <w:basedOn w:val="Absatz-Standardschriftart"/>
    <w:rsid w:val="00DC683F"/>
  </w:style>
  <w:style w:type="character" w:styleId="Hyperlink">
    <w:name w:val="Hyperlink"/>
    <w:basedOn w:val="Absatz-Standardschriftart"/>
    <w:uiPriority w:val="99"/>
    <w:unhideWhenUsed/>
    <w:rsid w:val="003F2E4A"/>
    <w:rPr>
      <w:color w:val="0000FF" w:themeColor="hyperlink"/>
      <w:u w:val="single"/>
    </w:rPr>
  </w:style>
  <w:style w:type="character" w:customStyle="1" w:styleId="NichtaufgelsteErwhnung1">
    <w:name w:val="Nicht aufgelöste Erwähnung1"/>
    <w:basedOn w:val="Absatz-Standardschriftart"/>
    <w:uiPriority w:val="99"/>
    <w:semiHidden/>
    <w:unhideWhenUsed/>
    <w:rsid w:val="003F2E4A"/>
    <w:rPr>
      <w:color w:val="605E5C"/>
      <w:shd w:val="clear" w:color="auto" w:fill="E1DFDD"/>
    </w:rPr>
  </w:style>
  <w:style w:type="character" w:styleId="Kommentarzeichen">
    <w:name w:val="annotation reference"/>
    <w:basedOn w:val="Absatz-Standardschriftart"/>
    <w:semiHidden/>
    <w:unhideWhenUsed/>
    <w:rsid w:val="00246DB8"/>
    <w:rPr>
      <w:sz w:val="16"/>
      <w:szCs w:val="16"/>
    </w:rPr>
  </w:style>
  <w:style w:type="paragraph" w:styleId="Kommentartext">
    <w:name w:val="annotation text"/>
    <w:basedOn w:val="Standard"/>
    <w:link w:val="KommentartextZchn"/>
    <w:semiHidden/>
    <w:unhideWhenUsed/>
    <w:rsid w:val="00246DB8"/>
    <w:pPr>
      <w:spacing w:line="240" w:lineRule="auto"/>
    </w:pPr>
    <w:rPr>
      <w:szCs w:val="20"/>
    </w:rPr>
  </w:style>
  <w:style w:type="character" w:customStyle="1" w:styleId="KommentartextZchn">
    <w:name w:val="Kommentartext Zchn"/>
    <w:basedOn w:val="Absatz-Standardschriftart"/>
    <w:link w:val="Kommentartext"/>
    <w:semiHidden/>
    <w:rsid w:val="00246DB8"/>
    <w:rPr>
      <w:rFonts w:ascii="Avant Garde Book BT" w:hAnsi="Avant Garde Book BT"/>
    </w:rPr>
  </w:style>
  <w:style w:type="paragraph" w:styleId="Kommentarthema">
    <w:name w:val="annotation subject"/>
    <w:basedOn w:val="Kommentartext"/>
    <w:next w:val="Kommentartext"/>
    <w:link w:val="KommentarthemaZchn"/>
    <w:semiHidden/>
    <w:unhideWhenUsed/>
    <w:rsid w:val="00246DB8"/>
    <w:rPr>
      <w:b/>
      <w:bCs/>
    </w:rPr>
  </w:style>
  <w:style w:type="character" w:customStyle="1" w:styleId="KommentarthemaZchn">
    <w:name w:val="Kommentarthema Zchn"/>
    <w:basedOn w:val="KommentartextZchn"/>
    <w:link w:val="Kommentarthema"/>
    <w:semiHidden/>
    <w:rsid w:val="00246DB8"/>
    <w:rPr>
      <w:rFonts w:ascii="Avant Garde Book BT" w:hAnsi="Avant Garde Book BT"/>
      <w:b/>
      <w:bCs/>
    </w:rPr>
  </w:style>
  <w:style w:type="paragraph" w:styleId="StandardWeb">
    <w:name w:val="Normal (Web)"/>
    <w:basedOn w:val="Standard"/>
    <w:uiPriority w:val="99"/>
    <w:unhideWhenUsed/>
    <w:rsid w:val="007C4D51"/>
    <w:pPr>
      <w:spacing w:before="100" w:beforeAutospacing="1" w:after="100" w:afterAutospacing="1" w:line="240" w:lineRule="auto"/>
    </w:pPr>
    <w:rPr>
      <w:rFonts w:ascii="Times New Roman" w:hAnsi="Times New Roman"/>
      <w:sz w:val="24"/>
      <w:lang w:val="de-AT" w:eastAsia="de-AT"/>
    </w:rPr>
  </w:style>
  <w:style w:type="paragraph" w:customStyle="1" w:styleId="Default">
    <w:name w:val="Default"/>
    <w:rsid w:val="0067615C"/>
    <w:pPr>
      <w:autoSpaceDE w:val="0"/>
      <w:autoSpaceDN w:val="0"/>
      <w:adjustRightInd w:val="0"/>
    </w:pPr>
    <w:rPr>
      <w:rFonts w:ascii="Verdana" w:eastAsiaTheme="minorHAnsi" w:hAnsi="Verdana" w:cs="Verdana"/>
      <w:color w:val="000000"/>
      <w:sz w:val="24"/>
      <w:szCs w:val="24"/>
      <w:lang w:val="de-AT" w:eastAsia="en-US"/>
    </w:rPr>
  </w:style>
  <w:style w:type="character" w:styleId="Fett">
    <w:name w:val="Strong"/>
    <w:basedOn w:val="Absatz-Standardschriftart"/>
    <w:uiPriority w:val="22"/>
    <w:qFormat/>
    <w:rsid w:val="008264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409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epi.org/wp-content/uploads/2020/07/Cepi_-study.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epi.org/wp-content/uploads/2021/01/20-3362_BioRefineries_20210125_V2.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jlo\AppData\Local\Microsoft\Windows\INetCache\Content.Outlook\KLQBSA60\PA%20Der%20Kampf%20gegen%20den%20klimawandel%20erfordert%20nachhaltigen%20Umgang%20mit%20Holz_28092018.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EE029-74A9-4B17-B4C9-720D3180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 Der Kampf gegen den klimawandel erfordert nachhaltigen Umgang mit Holz_28092018</Template>
  <TotalTime>0</TotalTime>
  <Pages>2</Pages>
  <Words>492</Words>
  <Characters>3714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 Herrn/Frau</vt:lpstr>
    </vt:vector>
  </TitlesOfParts>
  <Company>buero16</Company>
  <LinksUpToDate>false</LinksUpToDate>
  <CharactersWithSpaces>4198</CharactersWithSpaces>
  <SharedDoc>false</SharedDoc>
  <HLinks>
    <vt:vector size="18" baseType="variant">
      <vt:variant>
        <vt:i4>786532</vt:i4>
      </vt:variant>
      <vt:variant>
        <vt:i4>-1</vt:i4>
      </vt:variant>
      <vt:variant>
        <vt:i4>2057</vt:i4>
      </vt:variant>
      <vt:variant>
        <vt:i4>1</vt:i4>
      </vt:variant>
      <vt:variant>
        <vt:lpwstr>briefkopf</vt:lpwstr>
      </vt:variant>
      <vt:variant>
        <vt:lpwstr/>
      </vt:variant>
      <vt:variant>
        <vt:i4>131179</vt:i4>
      </vt:variant>
      <vt:variant>
        <vt:i4>-1</vt:i4>
      </vt:variant>
      <vt:variant>
        <vt:i4>2058</vt:i4>
      </vt:variant>
      <vt:variant>
        <vt:i4>1</vt:i4>
      </vt:variant>
      <vt:variant>
        <vt:lpwstr>brieffuss</vt:lpwstr>
      </vt:variant>
      <vt:variant>
        <vt:lpwstr/>
      </vt:variant>
      <vt:variant>
        <vt:i4>131179</vt:i4>
      </vt:variant>
      <vt:variant>
        <vt:i4>-1</vt:i4>
      </vt:variant>
      <vt:variant>
        <vt:i4>2060</vt:i4>
      </vt:variant>
      <vt:variant>
        <vt:i4>1</vt:i4>
      </vt:variant>
      <vt:variant>
        <vt:lpwstr>brieffuss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Herrn/Frau</dc:title>
  <dc:creator>Loewenstein Julia</dc:creator>
  <cp:lastModifiedBy>Loewenstein Julia</cp:lastModifiedBy>
  <cp:revision>3</cp:revision>
  <cp:lastPrinted>2020-11-17T09:26:00Z</cp:lastPrinted>
  <dcterms:created xsi:type="dcterms:W3CDTF">2021-02-02T07:16:00Z</dcterms:created>
  <dcterms:modified xsi:type="dcterms:W3CDTF">2021-02-02T07:25:00Z</dcterms:modified>
</cp:coreProperties>
</file>